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7B4A" w14:textId="7BF62BE6" w:rsidR="00992BB7" w:rsidRPr="00EB45F0" w:rsidRDefault="00E502D7" w:rsidP="00E502D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Stanowisko Fundacji im. Julii Woykowskiej przesłane 18.12.2025 r. w k</w:t>
      </w:r>
      <w:r w:rsidR="00A9688B" w:rsidRPr="00EB45F0">
        <w:rPr>
          <w:rFonts w:ascii="Calibri" w:hAnsi="Calibri" w:cs="Calibri"/>
          <w:b/>
          <w:bCs/>
          <w:sz w:val="22"/>
          <w:szCs w:val="22"/>
        </w:rPr>
        <w:t>onsultacj</w:t>
      </w:r>
      <w:r>
        <w:rPr>
          <w:rFonts w:ascii="Calibri" w:hAnsi="Calibri" w:cs="Calibri"/>
          <w:b/>
          <w:bCs/>
          <w:sz w:val="22"/>
          <w:szCs w:val="22"/>
        </w:rPr>
        <w:t xml:space="preserve">ach </w:t>
      </w:r>
      <w:r w:rsidR="00A9688B" w:rsidRPr="00EB45F0">
        <w:rPr>
          <w:rFonts w:ascii="Calibri" w:hAnsi="Calibri" w:cs="Calibri"/>
          <w:b/>
          <w:bCs/>
          <w:sz w:val="22"/>
          <w:szCs w:val="22"/>
        </w:rPr>
        <w:t>publiczne projektów rozporządzeń Ministra Edukacji w sprawie podstawy</w:t>
      </w:r>
      <w:r w:rsidR="0072551B" w:rsidRPr="00EB45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9688B" w:rsidRPr="00EB45F0">
        <w:rPr>
          <w:rFonts w:ascii="Calibri" w:hAnsi="Calibri" w:cs="Calibri"/>
          <w:b/>
          <w:bCs/>
          <w:sz w:val="22"/>
          <w:szCs w:val="22"/>
        </w:rPr>
        <w:t>programowej podstawy programowej kształcenia ogólnego dla szkoły podstawowej oraz ramowego planu nauczania dla publicznej szkoły podstawowej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66D9D8E2" w14:textId="254E467B" w:rsidR="00D4047C" w:rsidRPr="00802C4E" w:rsidRDefault="00A9688B" w:rsidP="00A9688B">
      <w:pPr>
        <w:ind w:left="360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>1. Blok uwag odnoszący się do c</w:t>
      </w:r>
      <w:r w:rsidR="00D4047C" w:rsidRPr="00802C4E">
        <w:rPr>
          <w:rFonts w:ascii="Calibri" w:hAnsi="Calibri" w:cs="Calibri"/>
          <w:sz w:val="22"/>
          <w:szCs w:val="22"/>
        </w:rPr>
        <w:t>zęś</w:t>
      </w:r>
      <w:r w:rsidRPr="00802C4E">
        <w:rPr>
          <w:rFonts w:ascii="Calibri" w:hAnsi="Calibri" w:cs="Calibri"/>
          <w:sz w:val="22"/>
          <w:szCs w:val="22"/>
        </w:rPr>
        <w:t>ci</w:t>
      </w:r>
      <w:r w:rsidR="00D4047C" w:rsidRPr="00802C4E">
        <w:rPr>
          <w:rFonts w:ascii="Calibri" w:hAnsi="Calibri" w:cs="Calibri"/>
          <w:sz w:val="22"/>
          <w:szCs w:val="22"/>
        </w:rPr>
        <w:t xml:space="preserve"> ogóln</w:t>
      </w:r>
      <w:r w:rsidRPr="00802C4E">
        <w:rPr>
          <w:rFonts w:ascii="Calibri" w:hAnsi="Calibri" w:cs="Calibri"/>
          <w:sz w:val="22"/>
          <w:szCs w:val="22"/>
        </w:rPr>
        <w:t>ej</w:t>
      </w:r>
      <w:r w:rsidR="00D4047C" w:rsidRPr="00802C4E">
        <w:rPr>
          <w:rFonts w:ascii="Calibri" w:hAnsi="Calibri" w:cs="Calibri"/>
          <w:sz w:val="22"/>
          <w:szCs w:val="22"/>
        </w:rPr>
        <w:t xml:space="preserve"> podstawy programowej dotycząc</w:t>
      </w:r>
      <w:r w:rsidRPr="00802C4E">
        <w:rPr>
          <w:rFonts w:ascii="Calibri" w:hAnsi="Calibri" w:cs="Calibri"/>
          <w:sz w:val="22"/>
          <w:szCs w:val="22"/>
        </w:rPr>
        <w:t xml:space="preserve">ej. </w:t>
      </w:r>
      <w:r w:rsidR="00D4047C" w:rsidRPr="00802C4E">
        <w:rPr>
          <w:rFonts w:ascii="Calibri" w:hAnsi="Calibri" w:cs="Calibri"/>
          <w:sz w:val="22"/>
          <w:szCs w:val="22"/>
        </w:rPr>
        <w:t xml:space="preserve"> ogólnych celów kształcenia i wychowania oraz zadań szkoły, kompetencji, oczekiwanych efektów uczenia się, działalności wychowawczej szkoły, sposobów organizowania środowisk edukacyjnych.</w:t>
      </w:r>
    </w:p>
    <w:p w14:paraId="6437D38E" w14:textId="1EF02294" w:rsidR="00A9688B" w:rsidRPr="00802C4E" w:rsidRDefault="00A9688B" w:rsidP="00A875B2">
      <w:pPr>
        <w:ind w:left="360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>Uwagi (max. 1800 znaków)</w:t>
      </w:r>
    </w:p>
    <w:p w14:paraId="6C075C85" w14:textId="46F29B2C" w:rsidR="00A875B2" w:rsidRPr="00A875B2" w:rsidRDefault="00A01C8B" w:rsidP="00A875B2">
      <w:pPr>
        <w:ind w:left="360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 xml:space="preserve">Część ogólna podstawy programowej wskazuje </w:t>
      </w:r>
      <w:r w:rsidR="00B1423A" w:rsidRPr="00802C4E">
        <w:rPr>
          <w:rFonts w:ascii="Calibri" w:hAnsi="Calibri" w:cs="Calibri"/>
          <w:sz w:val="22"/>
          <w:szCs w:val="22"/>
        </w:rPr>
        <w:t xml:space="preserve">trafnie </w:t>
      </w:r>
      <w:r w:rsidRPr="00802C4E">
        <w:rPr>
          <w:rFonts w:ascii="Calibri" w:hAnsi="Calibri" w:cs="Calibri"/>
          <w:sz w:val="22"/>
          <w:szCs w:val="22"/>
        </w:rPr>
        <w:t>sprawczość jako kluczową kompetencję rozwijaną przez cał</w:t>
      </w:r>
      <w:r w:rsidR="00B1423A" w:rsidRPr="00802C4E">
        <w:rPr>
          <w:rFonts w:ascii="Calibri" w:hAnsi="Calibri" w:cs="Calibri"/>
          <w:sz w:val="22"/>
          <w:szCs w:val="22"/>
        </w:rPr>
        <w:t>y proces edukacji</w:t>
      </w:r>
      <w:r w:rsidRPr="00802C4E">
        <w:rPr>
          <w:rFonts w:ascii="Calibri" w:hAnsi="Calibri" w:cs="Calibri"/>
          <w:sz w:val="22"/>
          <w:szCs w:val="22"/>
        </w:rPr>
        <w:t xml:space="preserve">. </w:t>
      </w:r>
      <w:r w:rsidR="00A875B2" w:rsidRPr="00A875B2">
        <w:rPr>
          <w:rFonts w:ascii="Calibri" w:hAnsi="Calibri" w:cs="Calibri"/>
          <w:sz w:val="22"/>
          <w:szCs w:val="22"/>
        </w:rPr>
        <w:t>Jednak, aby</w:t>
      </w:r>
      <w:r w:rsidR="00B1423A" w:rsidRPr="00802C4E">
        <w:rPr>
          <w:rFonts w:ascii="Calibri" w:hAnsi="Calibri" w:cs="Calibri"/>
          <w:sz w:val="22"/>
          <w:szCs w:val="22"/>
        </w:rPr>
        <w:t xml:space="preserve"> zapisy</w:t>
      </w:r>
      <w:r w:rsidR="00A875B2" w:rsidRPr="00A875B2">
        <w:rPr>
          <w:rFonts w:ascii="Calibri" w:hAnsi="Calibri" w:cs="Calibri"/>
          <w:sz w:val="22"/>
          <w:szCs w:val="22"/>
        </w:rPr>
        <w:t xml:space="preserve"> były skutecznie wdrożone, konieczne jest ich uzupełnienie o warunki operacjonalizacji. W szczególności rekomendujemy, by:</w:t>
      </w:r>
    </w:p>
    <w:p w14:paraId="717543BD" w14:textId="77777777" w:rsidR="00A875B2" w:rsidRPr="00A875B2" w:rsidRDefault="00A875B2" w:rsidP="00A875B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875B2">
        <w:rPr>
          <w:rFonts w:ascii="Calibri" w:hAnsi="Calibri" w:cs="Calibri"/>
          <w:sz w:val="22"/>
          <w:szCs w:val="22"/>
        </w:rPr>
        <w:t>W sekcji „Zadania szkoły” uzupełnić zapis o indywidualnej pracy wychowawczej nauczyciela z uczniem nad jego sprawczością – zwłaszcza w zakresie rozpoznawania i rozwijania predyspozycji liderskich, takich jak inicjatywa, umiejętność współpracy, podejmowanie decyzji i wpływ na otoczenie. Tego typu praca – np. rozmowy rozwojowe, mentoring wychowawczy, diagnoza zasobów – jest kluczowa, by szkoła rzeczywiście wspierała liderstwo i odpowiedzialność społeczną.</w:t>
      </w:r>
    </w:p>
    <w:p w14:paraId="3AB49961" w14:textId="77777777" w:rsidR="00A875B2" w:rsidRPr="00A875B2" w:rsidRDefault="00A875B2" w:rsidP="00A875B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875B2">
        <w:rPr>
          <w:rFonts w:ascii="Calibri" w:hAnsi="Calibri" w:cs="Calibri"/>
          <w:sz w:val="22"/>
          <w:szCs w:val="22"/>
        </w:rPr>
        <w:t>W sekcji „Sposoby organizowania środowisk edukacyjnych” zalecamy dodanie wskazania, że szkoła powinna wykorzystywać nowe narzędzia i formaty dydaktyczne wspierające sprawczość – m.in. gry symulacyjne (np. „Młodzi Rządzą”), projekty uczniowskie o rzeczywistym wpływie społecznym, budżety partycypacyjne, debaty i procesy decyzyjne angażujące uczniów. Zastosowanie tych narzędzi sprzyja wchodzeniu w role liderskie, analizowaniu konsekwencji działań, uczeniu się wpływu na społeczność szkolną i lokalną.</w:t>
      </w:r>
    </w:p>
    <w:p w14:paraId="3D6CF17C" w14:textId="77777777" w:rsidR="00A875B2" w:rsidRPr="00A875B2" w:rsidRDefault="00A875B2" w:rsidP="00A875B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875B2">
        <w:rPr>
          <w:rFonts w:ascii="Calibri" w:hAnsi="Calibri" w:cs="Calibri"/>
          <w:sz w:val="22"/>
          <w:szCs w:val="22"/>
        </w:rPr>
        <w:t>W części dotyczącej roli nauczyciela należy dodać zapis o potrzebie przygotowania kadry do pracy metodami rozwijającymi sprawczość, w tym liderstwo uczniowskie. Oznacza to nie tylko znajomość metod projektowych, facylitacyjnych i tutoringowych, ale także umiejętność towarzyszenia uczniowi w jego procesie decyzyjnym i rozwoju osobistym. Konieczne jest wskazanie, że realizacja tego celu wymaga szkoleń systemowych oraz dostępu do zewnętrznych programów i partnerstw – np. we współpracy z organizacjami społecznymi, które oferują sprawdzone programy liderskie i mentoringowe dla młodzieży.</w:t>
      </w:r>
    </w:p>
    <w:p w14:paraId="1778F452" w14:textId="03CF4DF7" w:rsidR="00A875B2" w:rsidRPr="00A875B2" w:rsidRDefault="00A875B2" w:rsidP="00A875B2">
      <w:pPr>
        <w:ind w:left="360"/>
        <w:rPr>
          <w:rFonts w:ascii="Calibri" w:hAnsi="Calibri" w:cs="Calibri"/>
          <w:sz w:val="22"/>
          <w:szCs w:val="22"/>
        </w:rPr>
      </w:pPr>
      <w:r w:rsidRPr="00A875B2">
        <w:rPr>
          <w:rFonts w:ascii="Calibri" w:hAnsi="Calibri" w:cs="Calibri"/>
          <w:sz w:val="22"/>
          <w:szCs w:val="22"/>
        </w:rPr>
        <w:t>Choć dokument definiuje sprawczość precyzyjnie i całościowo, jego skuteczność zależy od tego, czy wskazane działania zostaną powiązane z konkretnymi narzędziami, zasobami i przygotowaniem nauczycieli. Bez tych warunków istnieje ryzyko, że zapis</w:t>
      </w:r>
      <w:r w:rsidR="00A8668C" w:rsidRPr="00802C4E">
        <w:rPr>
          <w:rFonts w:ascii="Calibri" w:hAnsi="Calibri" w:cs="Calibri"/>
          <w:sz w:val="22"/>
          <w:szCs w:val="22"/>
        </w:rPr>
        <w:t>y</w:t>
      </w:r>
      <w:r w:rsidRPr="00A875B2">
        <w:rPr>
          <w:rFonts w:ascii="Calibri" w:hAnsi="Calibri" w:cs="Calibri"/>
          <w:sz w:val="22"/>
          <w:szCs w:val="22"/>
        </w:rPr>
        <w:t xml:space="preserve"> pozostan</w:t>
      </w:r>
      <w:r w:rsidR="0072551B" w:rsidRPr="00802C4E">
        <w:rPr>
          <w:rFonts w:ascii="Calibri" w:hAnsi="Calibri" w:cs="Calibri"/>
          <w:sz w:val="22"/>
          <w:szCs w:val="22"/>
        </w:rPr>
        <w:t>ą</w:t>
      </w:r>
      <w:r w:rsidRPr="00A875B2">
        <w:rPr>
          <w:rFonts w:ascii="Calibri" w:hAnsi="Calibri" w:cs="Calibri"/>
          <w:sz w:val="22"/>
          <w:szCs w:val="22"/>
        </w:rPr>
        <w:t xml:space="preserve"> postulatem nieprzekładającym się na praktykę edukacyjną.</w:t>
      </w:r>
    </w:p>
    <w:p w14:paraId="71B1D336" w14:textId="77777777" w:rsidR="00A875B2" w:rsidRPr="00802C4E" w:rsidRDefault="00A875B2" w:rsidP="00D4047C">
      <w:pPr>
        <w:ind w:left="360"/>
        <w:rPr>
          <w:rFonts w:ascii="Calibri" w:hAnsi="Calibri" w:cs="Calibri"/>
          <w:sz w:val="22"/>
          <w:szCs w:val="22"/>
        </w:rPr>
      </w:pPr>
    </w:p>
    <w:p w14:paraId="0CD3798E" w14:textId="77777777" w:rsidR="00A875B2" w:rsidRPr="00802C4E" w:rsidRDefault="00A875B2" w:rsidP="00D4047C">
      <w:pPr>
        <w:ind w:left="360"/>
        <w:rPr>
          <w:rFonts w:ascii="Calibri" w:hAnsi="Calibri" w:cs="Calibri"/>
          <w:sz w:val="22"/>
          <w:szCs w:val="22"/>
        </w:rPr>
      </w:pPr>
    </w:p>
    <w:p w14:paraId="7C24FAAD" w14:textId="77777777" w:rsidR="00A875B2" w:rsidRPr="00802C4E" w:rsidRDefault="00A875B2" w:rsidP="00D4047C">
      <w:pPr>
        <w:ind w:left="360"/>
        <w:rPr>
          <w:rFonts w:ascii="Calibri" w:hAnsi="Calibri" w:cs="Calibri"/>
          <w:sz w:val="22"/>
          <w:szCs w:val="22"/>
        </w:rPr>
      </w:pPr>
    </w:p>
    <w:p w14:paraId="0D036FFD" w14:textId="77777777" w:rsidR="00A875B2" w:rsidRPr="00802C4E" w:rsidRDefault="00A875B2" w:rsidP="00D4047C">
      <w:pPr>
        <w:ind w:left="360"/>
        <w:rPr>
          <w:rFonts w:ascii="Calibri" w:hAnsi="Calibri" w:cs="Calibri"/>
          <w:sz w:val="22"/>
          <w:szCs w:val="22"/>
        </w:rPr>
      </w:pPr>
    </w:p>
    <w:p w14:paraId="1493D38F" w14:textId="77777777" w:rsidR="00A875B2" w:rsidRPr="00802C4E" w:rsidRDefault="00A875B2" w:rsidP="00D4047C">
      <w:pPr>
        <w:ind w:left="360"/>
        <w:rPr>
          <w:rFonts w:ascii="Calibri" w:hAnsi="Calibri" w:cs="Calibri"/>
          <w:sz w:val="22"/>
          <w:szCs w:val="22"/>
        </w:rPr>
      </w:pPr>
    </w:p>
    <w:p w14:paraId="029EA47D" w14:textId="2965794E" w:rsidR="00AF7E90" w:rsidRPr="00802C4E" w:rsidRDefault="0072551B" w:rsidP="00AF7E90">
      <w:pPr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 xml:space="preserve">2. Drugi blok uwag odnoszący się </w:t>
      </w:r>
      <w:r w:rsidR="00CA2FEA" w:rsidRPr="00802C4E">
        <w:rPr>
          <w:rFonts w:ascii="Calibri" w:hAnsi="Calibri" w:cs="Calibri"/>
          <w:sz w:val="22"/>
          <w:szCs w:val="22"/>
        </w:rPr>
        <w:t xml:space="preserve">do podstaw konkretnych </w:t>
      </w:r>
      <w:r w:rsidR="00DC38C7" w:rsidRPr="00802C4E">
        <w:rPr>
          <w:rFonts w:ascii="Calibri" w:hAnsi="Calibri" w:cs="Calibri"/>
          <w:sz w:val="22"/>
          <w:szCs w:val="22"/>
        </w:rPr>
        <w:t xml:space="preserve">przedmiotów dla klasy IV-VIII (max. 1800 znaków). </w:t>
      </w:r>
    </w:p>
    <w:p w14:paraId="50C21735" w14:textId="03E147C5" w:rsidR="00AF7E90" w:rsidRPr="00AF7E90" w:rsidRDefault="00AF7E90" w:rsidP="00AF7E90">
      <w:pPr>
        <w:rPr>
          <w:rFonts w:ascii="Calibri" w:hAnsi="Calibri" w:cs="Calibri"/>
          <w:sz w:val="22"/>
          <w:szCs w:val="22"/>
        </w:rPr>
      </w:pPr>
      <w:r w:rsidRPr="00AF7E90">
        <w:rPr>
          <w:rFonts w:ascii="Calibri" w:hAnsi="Calibri" w:cs="Calibri"/>
          <w:sz w:val="22"/>
          <w:szCs w:val="22"/>
        </w:rPr>
        <w:t xml:space="preserve">W podstawach przedmiotowych historii i nauk przyrodniczych obecność kobiet jako autorek, bohaterek i twórczyń wiedzy jest marginalna. </w:t>
      </w:r>
    </w:p>
    <w:p w14:paraId="41013262" w14:textId="343EB46D" w:rsidR="00AF7E90" w:rsidRPr="00AF7E90" w:rsidRDefault="00AF7E90" w:rsidP="00AF7E90">
      <w:pPr>
        <w:rPr>
          <w:rFonts w:ascii="Calibri" w:hAnsi="Calibri" w:cs="Calibri"/>
          <w:sz w:val="22"/>
          <w:szCs w:val="22"/>
        </w:rPr>
      </w:pPr>
      <w:r w:rsidRPr="00AF7E90">
        <w:rPr>
          <w:rFonts w:ascii="Calibri" w:hAnsi="Calibri" w:cs="Calibri"/>
          <w:sz w:val="22"/>
          <w:szCs w:val="22"/>
        </w:rPr>
        <w:t>W podstawie do historii postaci kobiece występują nielicznie i wybiórczo – pojawia się m.in.</w:t>
      </w:r>
      <w:r w:rsidR="00EE56CC">
        <w:rPr>
          <w:rFonts w:ascii="Calibri" w:hAnsi="Calibri" w:cs="Calibri"/>
          <w:sz w:val="22"/>
          <w:szCs w:val="22"/>
        </w:rPr>
        <w:t xml:space="preserve"> Dobrawa,</w:t>
      </w:r>
      <w:r w:rsidRPr="00AF7E90">
        <w:rPr>
          <w:rFonts w:ascii="Calibri" w:hAnsi="Calibri" w:cs="Calibri"/>
          <w:sz w:val="22"/>
          <w:szCs w:val="22"/>
        </w:rPr>
        <w:t xml:space="preserve"> królowa Jadwiga,</w:t>
      </w:r>
      <w:r w:rsidR="00EE56CC">
        <w:rPr>
          <w:rFonts w:ascii="Calibri" w:hAnsi="Calibri" w:cs="Calibri"/>
          <w:sz w:val="22"/>
          <w:szCs w:val="22"/>
        </w:rPr>
        <w:t xml:space="preserve"> Izabela Czartoryska, Maria Skłodowska,</w:t>
      </w:r>
      <w:r w:rsidRPr="00AF7E90">
        <w:rPr>
          <w:rFonts w:ascii="Calibri" w:hAnsi="Calibri" w:cs="Calibri"/>
          <w:sz w:val="22"/>
          <w:szCs w:val="22"/>
        </w:rPr>
        <w:t xml:space="preserve"> ale </w:t>
      </w:r>
      <w:r w:rsidR="008A134E">
        <w:rPr>
          <w:rFonts w:ascii="Calibri" w:hAnsi="Calibri" w:cs="Calibri"/>
          <w:sz w:val="22"/>
          <w:szCs w:val="22"/>
        </w:rPr>
        <w:t>niewystarczający wydaje się udział prezentowanych postaci</w:t>
      </w:r>
      <w:r w:rsidRPr="00AF7E90">
        <w:rPr>
          <w:rFonts w:ascii="Calibri" w:hAnsi="Calibri" w:cs="Calibri"/>
          <w:sz w:val="22"/>
          <w:szCs w:val="22"/>
        </w:rPr>
        <w:t xml:space="preserve"> kobie</w:t>
      </w:r>
      <w:r w:rsidR="008A134E">
        <w:rPr>
          <w:rFonts w:ascii="Calibri" w:hAnsi="Calibri" w:cs="Calibri"/>
          <w:sz w:val="22"/>
          <w:szCs w:val="22"/>
        </w:rPr>
        <w:t>cych</w:t>
      </w:r>
      <w:r w:rsidRPr="00AF7E90">
        <w:rPr>
          <w:rFonts w:ascii="Calibri" w:hAnsi="Calibri" w:cs="Calibri"/>
          <w:sz w:val="22"/>
          <w:szCs w:val="22"/>
        </w:rPr>
        <w:t xml:space="preserve"> uczestniczących w procesach politycznych</w:t>
      </w:r>
      <w:r w:rsidR="00A7268C">
        <w:rPr>
          <w:rFonts w:ascii="Calibri" w:hAnsi="Calibri" w:cs="Calibri"/>
          <w:sz w:val="22"/>
          <w:szCs w:val="22"/>
        </w:rPr>
        <w:t xml:space="preserve"> (np. uzyskaniu przez Polki praw wyborczych</w:t>
      </w:r>
      <w:r w:rsidR="0045621B">
        <w:rPr>
          <w:rFonts w:ascii="Calibri" w:hAnsi="Calibri" w:cs="Calibri"/>
          <w:sz w:val="22"/>
          <w:szCs w:val="22"/>
        </w:rPr>
        <w:t xml:space="preserve">, kobiet „Solidarności”, </w:t>
      </w:r>
      <w:r w:rsidR="00000ACB">
        <w:rPr>
          <w:rFonts w:ascii="Calibri" w:hAnsi="Calibri" w:cs="Calibri"/>
          <w:sz w:val="22"/>
          <w:szCs w:val="22"/>
        </w:rPr>
        <w:t>Hanny</w:t>
      </w:r>
      <w:r w:rsidR="00791047">
        <w:rPr>
          <w:rFonts w:ascii="Calibri" w:hAnsi="Calibri" w:cs="Calibri"/>
          <w:sz w:val="22"/>
          <w:szCs w:val="22"/>
        </w:rPr>
        <w:t xml:space="preserve"> Suchockiej</w:t>
      </w:r>
      <w:r w:rsidR="00000ACB">
        <w:rPr>
          <w:rFonts w:ascii="Calibri" w:hAnsi="Calibri" w:cs="Calibri"/>
          <w:sz w:val="22"/>
          <w:szCs w:val="22"/>
        </w:rPr>
        <w:t xml:space="preserve"> </w:t>
      </w:r>
      <w:r w:rsidR="00A7268C">
        <w:rPr>
          <w:rFonts w:ascii="Calibri" w:hAnsi="Calibri" w:cs="Calibri"/>
          <w:sz w:val="22"/>
          <w:szCs w:val="22"/>
        </w:rPr>
        <w:t>)</w:t>
      </w:r>
      <w:r w:rsidRPr="00AF7E90">
        <w:rPr>
          <w:rFonts w:ascii="Calibri" w:hAnsi="Calibri" w:cs="Calibri"/>
          <w:sz w:val="22"/>
          <w:szCs w:val="22"/>
        </w:rPr>
        <w:t xml:space="preserve">, społecznych, oświatowych czy naukowych, szczególnie w kontekście historii XX i XXI w. Choć w wymaganiach ogólnych zapisano naukę o związkach przyczynowo-skutkowych i analizie procesów dziejowych, treści szczegółowe nadal koncentrują się na wydarzeniach i postaciach męskich. </w:t>
      </w:r>
    </w:p>
    <w:p w14:paraId="65F6A32E" w14:textId="73A0286D" w:rsidR="00AF7E90" w:rsidRPr="00AF7E90" w:rsidRDefault="00AF7E90" w:rsidP="00AF7E90">
      <w:pPr>
        <w:rPr>
          <w:rFonts w:ascii="Calibri" w:hAnsi="Calibri" w:cs="Calibri"/>
          <w:sz w:val="22"/>
          <w:szCs w:val="22"/>
        </w:rPr>
      </w:pPr>
      <w:r w:rsidRPr="00AF7E90">
        <w:rPr>
          <w:rFonts w:ascii="Calibri" w:hAnsi="Calibri" w:cs="Calibri"/>
          <w:sz w:val="22"/>
          <w:szCs w:val="22"/>
        </w:rPr>
        <w:t>W podstawie biologii i przyrody brak odniesień do kobiet-naukowczyń, mimo że uczniowie mają poznawać „rolę nauki i badaczy”.</w:t>
      </w:r>
    </w:p>
    <w:p w14:paraId="41DF03C9" w14:textId="6C93F9C1" w:rsidR="00AF7E90" w:rsidRPr="00AF7E90" w:rsidRDefault="00AF7E90" w:rsidP="00AF7E90">
      <w:pPr>
        <w:rPr>
          <w:rFonts w:ascii="Calibri" w:hAnsi="Calibri" w:cs="Calibri"/>
          <w:sz w:val="22"/>
          <w:szCs w:val="22"/>
        </w:rPr>
      </w:pPr>
      <w:r w:rsidRPr="00AF7E90">
        <w:rPr>
          <w:rFonts w:ascii="Calibri" w:hAnsi="Calibri" w:cs="Calibri"/>
          <w:sz w:val="22"/>
          <w:szCs w:val="22"/>
        </w:rPr>
        <w:t>Rekomendujemy:</w:t>
      </w:r>
      <w:r w:rsidRPr="00AF7E90">
        <w:rPr>
          <w:rFonts w:ascii="Calibri" w:hAnsi="Calibri" w:cs="Calibri"/>
          <w:sz w:val="22"/>
          <w:szCs w:val="22"/>
        </w:rPr>
        <w:br/>
        <w:t xml:space="preserve">– </w:t>
      </w:r>
      <w:r w:rsidR="0023753B" w:rsidRPr="00802C4E">
        <w:rPr>
          <w:rFonts w:ascii="Calibri" w:hAnsi="Calibri" w:cs="Calibri"/>
          <w:sz w:val="22"/>
          <w:szCs w:val="22"/>
        </w:rPr>
        <w:t xml:space="preserve">skoncentrowanie nauczania historycznego na </w:t>
      </w:r>
      <w:r w:rsidR="00457E86" w:rsidRPr="00802C4E">
        <w:rPr>
          <w:rFonts w:ascii="Calibri" w:hAnsi="Calibri" w:cs="Calibri"/>
          <w:sz w:val="22"/>
          <w:szCs w:val="22"/>
        </w:rPr>
        <w:t xml:space="preserve">rozumieniu procesów, ich przyczyn i skutków (ważne szczególnie w zakresie konfliktów zbrojnych i historii najnowszej), </w:t>
      </w:r>
      <w:r w:rsidRPr="00AF7E90">
        <w:rPr>
          <w:rFonts w:ascii="Calibri" w:hAnsi="Calibri" w:cs="Calibri"/>
          <w:sz w:val="22"/>
          <w:szCs w:val="22"/>
        </w:rPr>
        <w:t>uzupełnienie treści historycznych o udział kobiet w procesach modernizacyjnych, edukacyjnych, obywatelskich;</w:t>
      </w:r>
      <w:r w:rsidRPr="00AF7E90">
        <w:rPr>
          <w:rFonts w:ascii="Calibri" w:hAnsi="Calibri" w:cs="Calibri"/>
          <w:sz w:val="22"/>
          <w:szCs w:val="22"/>
        </w:rPr>
        <w:br/>
        <w:t>– ujęcie kobiet jako twórczyń wiedzy w naukach przyrodniczych.</w:t>
      </w:r>
    </w:p>
    <w:p w14:paraId="713CB79A" w14:textId="3EAB281C" w:rsidR="00AF7E90" w:rsidRPr="00802C4E" w:rsidRDefault="00FB0F45" w:rsidP="00AF7E90">
      <w:pPr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>Z</w:t>
      </w:r>
      <w:r w:rsidR="000A51B1" w:rsidRPr="00802C4E">
        <w:rPr>
          <w:rFonts w:ascii="Calibri" w:hAnsi="Calibri" w:cs="Calibri"/>
          <w:sz w:val="22"/>
          <w:szCs w:val="22"/>
        </w:rPr>
        <w:t>asadne byłoby</w:t>
      </w:r>
      <w:r w:rsidRPr="00802C4E">
        <w:rPr>
          <w:rFonts w:ascii="Calibri" w:hAnsi="Calibri" w:cs="Calibri"/>
          <w:sz w:val="22"/>
          <w:szCs w:val="22"/>
        </w:rPr>
        <w:t xml:space="preserve"> również, by w „Warunkach i sposobie realizacji” uwzględnić możliwość współpracy szkół z organizacjami pozarządowymi oraz korzystania z dostępnych materiałów edukacyjnych (np. „Opowieści dla Młodych Organicz(nicze)k”), które wspierają nauczycieli w realizacji celów edukacji równościowej i społecznie uwrażliwionej. Wzmocnienie wsparcia metodycznego w tym zakresie może znacząco ułatwić realizację celów nowej podstawy.</w:t>
      </w:r>
    </w:p>
    <w:p w14:paraId="7916CE9D" w14:textId="35E8FAFF" w:rsidR="00AF7E90" w:rsidRPr="00802C4E" w:rsidRDefault="00443BA6" w:rsidP="00443BA6">
      <w:pPr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>3.Trzeci blok uwag odnosi się do kwestii ogólnych</w:t>
      </w:r>
      <w:r w:rsidR="005954CD" w:rsidRPr="00802C4E">
        <w:rPr>
          <w:rFonts w:ascii="Calibri" w:hAnsi="Calibri" w:cs="Calibri"/>
          <w:sz w:val="22"/>
          <w:szCs w:val="22"/>
        </w:rPr>
        <w:t xml:space="preserve">. </w:t>
      </w:r>
    </w:p>
    <w:p w14:paraId="4624AF9D" w14:textId="35FD8EF1" w:rsidR="006C12CA" w:rsidRPr="00802C4E" w:rsidRDefault="006C12CA" w:rsidP="005954CD">
      <w:pPr>
        <w:pStyle w:val="NormalnyWeb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 xml:space="preserve">Projekt podstawy programowej akcentuje wspieranie ucznia – szczególnie w ramach godzin wychowawczych – w formułowaniu celów rozwojowych i nazywaniu aspiracji. To ważny krok, jednak w obecnym kształcie </w:t>
      </w:r>
      <w:r w:rsidRPr="00802C4E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brakuje systemowego komponentu doradztwa edukacyjno-zawodowego</w:t>
      </w:r>
      <w:r w:rsidRPr="00802C4E">
        <w:rPr>
          <w:rFonts w:ascii="Calibri" w:hAnsi="Calibri" w:cs="Calibri"/>
          <w:sz w:val="22"/>
          <w:szCs w:val="22"/>
        </w:rPr>
        <w:t xml:space="preserve"> oraz precyzyjnych odniesień do nowoczesnych narzędzi diagnozy predyspozycji i potencjału ucznia.</w:t>
      </w:r>
    </w:p>
    <w:p w14:paraId="087205B6" w14:textId="2116A444" w:rsidR="006C12CA" w:rsidRPr="00802C4E" w:rsidRDefault="006C12CA" w:rsidP="005954CD">
      <w:pPr>
        <w:pStyle w:val="NormalnyWeb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 xml:space="preserve">Z badań Fundacji im. Julii Woykowskiej oraz raportu „Młodzi i przyszłość 2025” (Inspiring Girls) wynika jednoznacznie, że młodzież potrzebuje </w:t>
      </w:r>
      <w:r w:rsidRPr="00802C4E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indywidualnego wsparcia w odkrywaniu mocnych stron i planowaniu ścieżki edukacyjnej</w:t>
      </w:r>
      <w:r w:rsidRPr="00802C4E">
        <w:rPr>
          <w:rFonts w:ascii="Calibri" w:hAnsi="Calibri" w:cs="Calibri"/>
          <w:sz w:val="22"/>
          <w:szCs w:val="22"/>
        </w:rPr>
        <w:t xml:space="preserve">. 38% uczennic wskazywało brak narzędzi diagnozujących potencjał, a 41% – trudność w podejmowaniu decyzji edukacyjnych. </w:t>
      </w:r>
      <w:r w:rsidR="00351EDD">
        <w:rPr>
          <w:rFonts w:ascii="Calibri" w:hAnsi="Calibri" w:cs="Calibri"/>
          <w:sz w:val="22"/>
          <w:szCs w:val="22"/>
        </w:rPr>
        <w:t>W badaniach w</w:t>
      </w:r>
      <w:r w:rsidRPr="00802C4E">
        <w:rPr>
          <w:rFonts w:ascii="Calibri" w:hAnsi="Calibri" w:cs="Calibri"/>
          <w:sz w:val="22"/>
          <w:szCs w:val="22"/>
        </w:rPr>
        <w:t>skazywano m.in. testy Gallupa, analizy predyspozycji, mentoring i praktyczne poznawanie zawodów jako najbardziej oczekiwane formy wsparcia.</w:t>
      </w:r>
    </w:p>
    <w:p w14:paraId="1951CB45" w14:textId="3DF67012" w:rsidR="006C12CA" w:rsidRPr="00802C4E" w:rsidRDefault="006C12CA" w:rsidP="005954CD">
      <w:pPr>
        <w:pStyle w:val="NormalnyWeb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t xml:space="preserve">Rekomendujemy uzupełnienie podstawy programowej o zapis, że </w:t>
      </w:r>
      <w:r w:rsidRPr="00802C4E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doradztwo edukacyjno-zawodowe w klasach VII–VIII powinno mieć charakter indywidualny</w:t>
      </w:r>
      <w:r w:rsidRPr="00802C4E">
        <w:rPr>
          <w:rFonts w:ascii="Calibri" w:hAnsi="Calibri" w:cs="Calibri"/>
          <w:sz w:val="22"/>
          <w:szCs w:val="22"/>
        </w:rPr>
        <w:t xml:space="preserve">, opierać się na nowoczesnych narzędziach (testy kompetencji, profile mocnych stron, rozmowy rozwojowe) i być realizowane przez przygotowanych wychowawców. W „Warunkach i sposobie realizacji” warto wskazać na możliwość </w:t>
      </w:r>
      <w:r w:rsidRPr="00802C4E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współpracy z organizacjami społecznymi</w:t>
      </w:r>
      <w:r w:rsidRPr="00802C4E">
        <w:rPr>
          <w:rFonts w:ascii="Calibri" w:hAnsi="Calibri" w:cs="Calibri"/>
          <w:sz w:val="22"/>
          <w:szCs w:val="22"/>
        </w:rPr>
        <w:t xml:space="preserve"> oraz stosowania zdalnych form doradztwa.</w:t>
      </w:r>
    </w:p>
    <w:p w14:paraId="04EC7543" w14:textId="2325A052" w:rsidR="001A7ED4" w:rsidRDefault="006C12CA" w:rsidP="004005C1">
      <w:pPr>
        <w:pStyle w:val="NormalnyWeb"/>
        <w:rPr>
          <w:rFonts w:ascii="Calibri" w:hAnsi="Calibri" w:cs="Calibri"/>
          <w:sz w:val="22"/>
          <w:szCs w:val="22"/>
        </w:rPr>
      </w:pPr>
      <w:r w:rsidRPr="00802C4E">
        <w:rPr>
          <w:rFonts w:ascii="Calibri" w:hAnsi="Calibri" w:cs="Calibri"/>
          <w:sz w:val="22"/>
          <w:szCs w:val="22"/>
        </w:rPr>
        <w:lastRenderedPageBreak/>
        <w:t xml:space="preserve">Brakuje także zapisu o </w:t>
      </w:r>
      <w:r w:rsidRPr="00802C4E">
        <w:rPr>
          <w:rStyle w:val="Pogrubienie"/>
          <w:rFonts w:ascii="Calibri" w:eastAsiaTheme="majorEastAsia" w:hAnsi="Calibri" w:cs="Calibri"/>
          <w:b w:val="0"/>
          <w:bCs w:val="0"/>
          <w:sz w:val="22"/>
          <w:szCs w:val="22"/>
        </w:rPr>
        <w:t>równościowym przedstawianiu zawodów</w:t>
      </w:r>
      <w:r w:rsidRPr="00802C4E">
        <w:rPr>
          <w:rFonts w:ascii="Calibri" w:hAnsi="Calibri" w:cs="Calibri"/>
          <w:sz w:val="22"/>
          <w:szCs w:val="22"/>
        </w:rPr>
        <w:t xml:space="preserve"> – konieczne jest przeciwdziałanie stereotypizacji ścieżek zawodowych i pokazywanie zarówno kobiet, jak i mężczyzn w zróżnicowanych rolach. Brak odrębnych zajęć z doradztwa edukacyjno-zawodowego stanowi istotną lukę – warto ją pilnie uzupełnić.</w:t>
      </w:r>
    </w:p>
    <w:p w14:paraId="5409B55E" w14:textId="77777777" w:rsidR="001A7ED4" w:rsidRDefault="001A7ED4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256DA34F" w14:textId="60205F54" w:rsidR="001A7ED4" w:rsidRDefault="001A7ED4" w:rsidP="004005C1">
      <w:pPr>
        <w:pStyle w:val="NormalnyWeb"/>
        <w:rPr>
          <w:noProof/>
        </w:rPr>
      </w:pPr>
      <w:r w:rsidRPr="001A7ED4">
        <w:rPr>
          <w:noProof/>
        </w:rPr>
        <w:t xml:space="preserve"> </w:t>
      </w:r>
    </w:p>
    <w:p w14:paraId="7AE3D670" w14:textId="2E7577F8" w:rsidR="001A7ED4" w:rsidRDefault="001A7ED4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718EC6A5" w14:textId="77777777" w:rsidR="001A7ED4" w:rsidRDefault="001A7ED4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5CE6C265" w14:textId="4D075C87" w:rsidR="001A7ED4" w:rsidRDefault="001A7ED4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02089CF9" w14:textId="54EF063E" w:rsidR="007463C2" w:rsidRDefault="007463C2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53E435AE" w14:textId="77777777" w:rsidR="007463C2" w:rsidRDefault="007463C2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248CD070" w14:textId="71F16650" w:rsidR="007463C2" w:rsidRDefault="007463C2" w:rsidP="004005C1">
      <w:pPr>
        <w:pStyle w:val="NormalnyWeb"/>
        <w:rPr>
          <w:rFonts w:ascii="Calibri" w:hAnsi="Calibri" w:cs="Calibri"/>
          <w:sz w:val="22"/>
          <w:szCs w:val="22"/>
        </w:rPr>
      </w:pPr>
    </w:p>
    <w:p w14:paraId="6914B5B3" w14:textId="401B49F7" w:rsidR="00E064FE" w:rsidRPr="00802C4E" w:rsidRDefault="00E064FE" w:rsidP="004005C1">
      <w:pPr>
        <w:pStyle w:val="NormalnyWeb"/>
        <w:rPr>
          <w:rFonts w:ascii="Calibri" w:hAnsi="Calibri" w:cs="Calibri"/>
          <w:sz w:val="22"/>
          <w:szCs w:val="22"/>
        </w:rPr>
      </w:pPr>
    </w:p>
    <w:sectPr w:rsidR="00E064FE" w:rsidRPr="0080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C73"/>
    <w:multiLevelType w:val="multilevel"/>
    <w:tmpl w:val="FE84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408DE"/>
    <w:multiLevelType w:val="multilevel"/>
    <w:tmpl w:val="DE5A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96BEC"/>
    <w:multiLevelType w:val="multilevel"/>
    <w:tmpl w:val="221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5F0D"/>
    <w:multiLevelType w:val="multilevel"/>
    <w:tmpl w:val="8DD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630D8"/>
    <w:multiLevelType w:val="hybridMultilevel"/>
    <w:tmpl w:val="FCFE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F50BF"/>
    <w:multiLevelType w:val="multilevel"/>
    <w:tmpl w:val="035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26B03"/>
    <w:multiLevelType w:val="multilevel"/>
    <w:tmpl w:val="4FBC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902305">
    <w:abstractNumId w:val="3"/>
  </w:num>
  <w:num w:numId="2" w16cid:durableId="783157554">
    <w:abstractNumId w:val="2"/>
  </w:num>
  <w:num w:numId="3" w16cid:durableId="1577398580">
    <w:abstractNumId w:val="1"/>
  </w:num>
  <w:num w:numId="4" w16cid:durableId="452596216">
    <w:abstractNumId w:val="0"/>
  </w:num>
  <w:num w:numId="5" w16cid:durableId="1499884926">
    <w:abstractNumId w:val="5"/>
  </w:num>
  <w:num w:numId="6" w16cid:durableId="2007323719">
    <w:abstractNumId w:val="4"/>
  </w:num>
  <w:num w:numId="7" w16cid:durableId="1176766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A"/>
    <w:rsid w:val="00000ACB"/>
    <w:rsid w:val="000033A7"/>
    <w:rsid w:val="000A51B1"/>
    <w:rsid w:val="001A7ED4"/>
    <w:rsid w:val="00206725"/>
    <w:rsid w:val="0023753B"/>
    <w:rsid w:val="00280DDB"/>
    <w:rsid w:val="002F6383"/>
    <w:rsid w:val="00351EDD"/>
    <w:rsid w:val="0039505E"/>
    <w:rsid w:val="003D053B"/>
    <w:rsid w:val="004005C1"/>
    <w:rsid w:val="00443BA6"/>
    <w:rsid w:val="0045621B"/>
    <w:rsid w:val="00457E86"/>
    <w:rsid w:val="00493311"/>
    <w:rsid w:val="004A4C3E"/>
    <w:rsid w:val="004C0C8C"/>
    <w:rsid w:val="005954CD"/>
    <w:rsid w:val="006B09B7"/>
    <w:rsid w:val="006C12CA"/>
    <w:rsid w:val="0072551B"/>
    <w:rsid w:val="007463C2"/>
    <w:rsid w:val="00791047"/>
    <w:rsid w:val="00802C4E"/>
    <w:rsid w:val="008A134E"/>
    <w:rsid w:val="00992BB7"/>
    <w:rsid w:val="00A01C8B"/>
    <w:rsid w:val="00A7268C"/>
    <w:rsid w:val="00A827CA"/>
    <w:rsid w:val="00A8668C"/>
    <w:rsid w:val="00A875B2"/>
    <w:rsid w:val="00A9688B"/>
    <w:rsid w:val="00AF7E90"/>
    <w:rsid w:val="00B1423A"/>
    <w:rsid w:val="00B60D87"/>
    <w:rsid w:val="00B76684"/>
    <w:rsid w:val="00CA2FEA"/>
    <w:rsid w:val="00CF745D"/>
    <w:rsid w:val="00D4047C"/>
    <w:rsid w:val="00D72BDA"/>
    <w:rsid w:val="00DC38C7"/>
    <w:rsid w:val="00E064FE"/>
    <w:rsid w:val="00E502D7"/>
    <w:rsid w:val="00EB45F0"/>
    <w:rsid w:val="00EB494D"/>
    <w:rsid w:val="00EE56CC"/>
    <w:rsid w:val="00F43445"/>
    <w:rsid w:val="00F4565A"/>
    <w:rsid w:val="00F65E28"/>
    <w:rsid w:val="00F87439"/>
    <w:rsid w:val="00FB0F45"/>
    <w:rsid w:val="00FC4DEB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2594"/>
  <w15:chartTrackingRefBased/>
  <w15:docId w15:val="{6179D4B2-E9E6-427B-A434-EC8F9273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B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B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B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B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BD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4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43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97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9174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7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35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7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3314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9349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1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160731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388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8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61128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8338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91508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6764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3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0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9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8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928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5709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1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5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9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5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12995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369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2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0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10232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925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3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02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4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42106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3803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2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2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2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29533">
          <w:marLeft w:val="0"/>
          <w:marRight w:val="0"/>
          <w:marTop w:val="0"/>
          <w:marBottom w:val="48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2601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41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8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881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Rutkowska</dc:creator>
  <cp:keywords/>
  <dc:description/>
  <cp:lastModifiedBy>Zofia Rutkowska</cp:lastModifiedBy>
  <cp:revision>54</cp:revision>
  <dcterms:created xsi:type="dcterms:W3CDTF">2025-12-17T12:29:00Z</dcterms:created>
  <dcterms:modified xsi:type="dcterms:W3CDTF">2025-12-30T15:50:00Z</dcterms:modified>
</cp:coreProperties>
</file>